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504CE5" w:rsidRDefault="006544C4" w:rsidP="00504CE5">
      <w:pPr>
        <w:jc w:val="center"/>
        <w:rPr>
          <w:lang w:val="fr-FR"/>
        </w:rPr>
      </w:pPr>
      <w:bookmarkStart w:id="0" w:name="_GoBack"/>
      <w:bookmarkEnd w:id="0"/>
    </w:p>
    <w:p w:rsidR="0094178F" w:rsidRPr="00504CE5" w:rsidRDefault="0094178F" w:rsidP="00504CE5">
      <w:pPr>
        <w:jc w:val="center"/>
        <w:rPr>
          <w:sz w:val="4"/>
          <w:szCs w:val="4"/>
          <w:lang w:val="fr-FR"/>
        </w:rPr>
      </w:pPr>
    </w:p>
    <w:p w:rsidR="006544C4" w:rsidRPr="00504CE5" w:rsidRDefault="001F5D94" w:rsidP="00504CE5">
      <w:pPr>
        <w:pStyle w:val="DecHTitle"/>
        <w:rPr>
          <w:lang w:val="fr-FR"/>
        </w:rPr>
      </w:pPr>
      <w:r w:rsidRPr="00504CE5">
        <w:rPr>
          <w:szCs w:val="24"/>
          <w:lang w:val="fr-FR"/>
        </w:rPr>
        <w:t>PREMIÈRE SECTION</w:t>
      </w:r>
    </w:p>
    <w:p w:rsidR="006544C4" w:rsidRPr="00504CE5" w:rsidRDefault="006544C4" w:rsidP="00504CE5">
      <w:pPr>
        <w:pStyle w:val="DecHTitle"/>
        <w:rPr>
          <w:caps/>
          <w:sz w:val="32"/>
          <w:lang w:val="fr-FR"/>
        </w:rPr>
      </w:pPr>
      <w:r w:rsidRPr="00504CE5">
        <w:rPr>
          <w:lang w:val="fr-FR"/>
        </w:rPr>
        <w:t>DÉCISION</w:t>
      </w:r>
    </w:p>
    <w:p w:rsidR="006544C4" w:rsidRPr="00504CE5" w:rsidRDefault="001F5D94" w:rsidP="00504CE5">
      <w:pPr>
        <w:pStyle w:val="ECHRTitleCentre2"/>
        <w:rPr>
          <w:i w:val="0"/>
          <w:lang w:val="fr-FR"/>
        </w:rPr>
      </w:pPr>
      <w:r w:rsidRPr="00504CE5">
        <w:rPr>
          <w:i w:val="0"/>
          <w:lang w:val="fr-FR"/>
        </w:rPr>
        <w:t>Requête n</w:t>
      </w:r>
      <w:r w:rsidRPr="00504CE5">
        <w:rPr>
          <w:i w:val="0"/>
          <w:vertAlign w:val="superscript"/>
          <w:lang w:val="fr-FR"/>
        </w:rPr>
        <w:t>o</w:t>
      </w:r>
      <w:r w:rsidR="006544C4" w:rsidRPr="00504CE5">
        <w:rPr>
          <w:i w:val="0"/>
          <w:lang w:val="fr-FR"/>
        </w:rPr>
        <w:t xml:space="preserve"> </w:t>
      </w:r>
      <w:r w:rsidRPr="00504CE5">
        <w:rPr>
          <w:i w:val="0"/>
          <w:lang w:val="fr-FR"/>
        </w:rPr>
        <w:t>34508/12</w:t>
      </w:r>
      <w:r w:rsidR="006544C4" w:rsidRPr="00504CE5">
        <w:rPr>
          <w:i w:val="0"/>
          <w:lang w:val="fr-FR"/>
        </w:rPr>
        <w:br/>
      </w:r>
      <w:r w:rsidRPr="00504CE5">
        <w:rPr>
          <w:i w:val="0"/>
          <w:lang w:val="fr-FR"/>
        </w:rPr>
        <w:t xml:space="preserve">Marco MANZO </w:t>
      </w:r>
      <w:r w:rsidR="006544C4" w:rsidRPr="00504CE5">
        <w:rPr>
          <w:i w:val="0"/>
          <w:lang w:val="fr-FR"/>
        </w:rPr>
        <w:t xml:space="preserve">contre </w:t>
      </w:r>
      <w:r w:rsidRPr="00504CE5">
        <w:rPr>
          <w:i w:val="0"/>
          <w:lang w:val="fr-FR"/>
        </w:rPr>
        <w:t>l</w:t>
      </w:r>
      <w:r w:rsidR="00504CE5" w:rsidRPr="00504CE5">
        <w:rPr>
          <w:i w:val="0"/>
          <w:lang w:val="fr-FR"/>
        </w:rPr>
        <w:t>’</w:t>
      </w:r>
      <w:r w:rsidRPr="00504CE5">
        <w:rPr>
          <w:i w:val="0"/>
          <w:lang w:val="fr-FR"/>
        </w:rPr>
        <w:t>Italie</w:t>
      </w:r>
      <w:r w:rsidRPr="00504CE5">
        <w:rPr>
          <w:i w:val="0"/>
          <w:sz w:val="20"/>
          <w:lang w:val="fr-FR" w:eastAsia="en-GB"/>
        </w:rPr>
        <w:br/>
      </w:r>
      <w:r w:rsidRPr="00504CE5">
        <w:rPr>
          <w:i w:val="0"/>
          <w:lang w:val="fr-FR"/>
        </w:rPr>
        <w:t>et 5 autres requêtes</w:t>
      </w:r>
      <w:r w:rsidRPr="00504CE5">
        <w:rPr>
          <w:i w:val="0"/>
          <w:lang w:val="fr-FR"/>
        </w:rPr>
        <w:br/>
        <w:t>(voir liste en annexe)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La Cour européenne des droits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homme (première section), siégeant le 4 octobre 2016 en un comité composé de :</w:t>
      </w:r>
    </w:p>
    <w:p w:rsidR="001F5D94" w:rsidRPr="00504CE5" w:rsidRDefault="001F5D94" w:rsidP="00504CE5">
      <w:pPr>
        <w:pStyle w:val="ECHRDecisionBody"/>
        <w:rPr>
          <w:lang w:val="fr-FR"/>
        </w:rPr>
      </w:pPr>
      <w:r w:rsidRPr="00504CE5">
        <w:rPr>
          <w:lang w:val="fr-FR"/>
        </w:rPr>
        <w:tab/>
        <w:t>Ledi Bianku,</w:t>
      </w:r>
      <w:r w:rsidRPr="00504CE5">
        <w:rPr>
          <w:i/>
          <w:lang w:val="fr-FR"/>
        </w:rPr>
        <w:t xml:space="preserve"> président,</w:t>
      </w:r>
      <w:r w:rsidRPr="00504CE5">
        <w:rPr>
          <w:i/>
          <w:lang w:val="fr-FR"/>
        </w:rPr>
        <w:br/>
      </w:r>
      <w:r w:rsidRPr="00504CE5">
        <w:rPr>
          <w:lang w:val="fr-FR"/>
        </w:rPr>
        <w:tab/>
        <w:t>Aleš Pejchal,</w:t>
      </w:r>
      <w:r w:rsidRPr="00504CE5">
        <w:rPr>
          <w:i/>
          <w:lang w:val="fr-FR"/>
        </w:rPr>
        <w:br/>
      </w:r>
      <w:r w:rsidRPr="00504CE5">
        <w:rPr>
          <w:lang w:val="fr-FR"/>
        </w:rPr>
        <w:tab/>
        <w:t>Armen Harutyunyan,</w:t>
      </w:r>
      <w:r w:rsidRPr="00504CE5">
        <w:rPr>
          <w:i/>
          <w:lang w:val="fr-FR"/>
        </w:rPr>
        <w:t xml:space="preserve"> juges,</w:t>
      </w:r>
      <w:r w:rsidRPr="00504CE5">
        <w:rPr>
          <w:i/>
          <w:lang w:val="fr-FR"/>
        </w:rPr>
        <w:br/>
      </w:r>
      <w:r w:rsidRPr="00504CE5">
        <w:rPr>
          <w:lang w:val="fr-FR"/>
        </w:rPr>
        <w:t xml:space="preserve">et de Renata Degener, </w:t>
      </w:r>
      <w:r w:rsidRPr="00504CE5">
        <w:rPr>
          <w:i/>
          <w:lang w:val="fr-FR"/>
        </w:rPr>
        <w:t>greffière adjointe</w:t>
      </w:r>
      <w:r w:rsidRPr="00504CE5">
        <w:rPr>
          <w:i/>
          <w:iCs/>
          <w:lang w:val="fr-FR"/>
        </w:rPr>
        <w:t xml:space="preserve"> d</w:t>
      </w:r>
      <w:r w:rsidRPr="00504CE5">
        <w:rPr>
          <w:i/>
          <w:lang w:val="fr-FR"/>
        </w:rPr>
        <w:t>e section,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Vu les requêtes susmentionnées introduites aux dates indiquées dans le tableau joint en annexe,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Vu la déclaration déposée par le gouvernement défendeur le 12 avril 2016 et les 1</w:t>
      </w:r>
      <w:r w:rsidRPr="00504CE5">
        <w:rPr>
          <w:vertAlign w:val="superscript"/>
          <w:lang w:val="fr-FR"/>
        </w:rPr>
        <w:t>er</w:t>
      </w:r>
      <w:r w:rsidRPr="00504CE5">
        <w:rPr>
          <w:lang w:val="fr-FR"/>
        </w:rPr>
        <w:t>, 14 et 21 juin 2016</w:t>
      </w:r>
      <w:r w:rsidR="00805134" w:rsidRPr="00504CE5">
        <w:rPr>
          <w:lang w:val="fr-FR"/>
        </w:rPr>
        <w:t xml:space="preserve"> </w:t>
      </w:r>
      <w:r w:rsidRPr="00504CE5">
        <w:rPr>
          <w:lang w:val="fr-FR"/>
        </w:rPr>
        <w:t>invitant la Cour à rayer les requêtes du rôle, ainsi que la réponse des parties requérantes</w:t>
      </w:r>
      <w:r w:rsidRPr="00504CE5">
        <w:rPr>
          <w:b/>
          <w:szCs w:val="24"/>
          <w:lang w:val="fr-FR"/>
        </w:rPr>
        <w:t xml:space="preserve"> </w:t>
      </w:r>
      <w:r w:rsidRPr="00504CE5">
        <w:rPr>
          <w:lang w:val="fr-FR"/>
        </w:rPr>
        <w:t>à cette déclaration ;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Après en avoir délibéré, rend la décision suivante :</w:t>
      </w:r>
    </w:p>
    <w:p w:rsidR="001F5D94" w:rsidRPr="00504CE5" w:rsidRDefault="001F5D94" w:rsidP="00504CE5">
      <w:pPr>
        <w:pStyle w:val="ECHRTitle1"/>
        <w:rPr>
          <w:lang w:val="fr-FR"/>
        </w:rPr>
      </w:pPr>
      <w:r w:rsidRPr="00504CE5">
        <w:rPr>
          <w:lang w:val="fr-FR"/>
        </w:rPr>
        <w:t>FAITS ET PROCÉDURE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La liste des parties requérantes figure en annexe.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Le gouvernement italien (« le Gouvernement ») a été représenté par son agent, Mme E. Spatafora, et son coagent, Mme P. Accardo.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Invoquant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6 § 1 de la Convention, les requérants se plaignaient du manque de publicité de la procédure devant les juridictions compétentes.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 xml:space="preserve">Les requêtes </w:t>
      </w:r>
      <w:r w:rsidRPr="00504CE5">
        <w:rPr>
          <w:bCs/>
          <w:szCs w:val="24"/>
          <w:lang w:val="fr-FR" w:eastAsia="en-GB"/>
        </w:rPr>
        <w:t>avaient été communiquées</w:t>
      </w:r>
      <w:r w:rsidRPr="00504CE5">
        <w:rPr>
          <w:lang w:val="fr-FR"/>
        </w:rPr>
        <w:t xml:space="preserve"> </w:t>
      </w:r>
      <w:r w:rsidRPr="00504CE5">
        <w:rPr>
          <w:szCs w:val="24"/>
          <w:lang w:val="fr-FR" w:eastAsia="en-GB"/>
        </w:rPr>
        <w:t>a</w:t>
      </w:r>
      <w:r w:rsidRPr="00504CE5">
        <w:rPr>
          <w:color w:val="000000"/>
          <w:szCs w:val="24"/>
          <w:lang w:val="fr-FR" w:eastAsia="en-GB"/>
        </w:rPr>
        <w:t>u Gouvernement</w:t>
      </w:r>
      <w:r w:rsidRPr="00504CE5">
        <w:rPr>
          <w:color w:val="0000FF"/>
          <w:szCs w:val="24"/>
          <w:lang w:val="fr-FR" w:eastAsia="en-GB"/>
        </w:rPr>
        <w:t>.</w:t>
      </w:r>
    </w:p>
    <w:p w:rsidR="001F5D94" w:rsidRPr="00504CE5" w:rsidRDefault="001F5D94" w:rsidP="00504CE5">
      <w:pPr>
        <w:pStyle w:val="ECHRTitle1"/>
        <w:rPr>
          <w:lang w:val="fr-FR"/>
        </w:rPr>
      </w:pPr>
      <w:r w:rsidRPr="00504CE5">
        <w:rPr>
          <w:lang w:val="fr-FR"/>
        </w:rPr>
        <w:lastRenderedPageBreak/>
        <w:t>EN DROIT</w:t>
      </w:r>
    </w:p>
    <w:p w:rsidR="001F5D94" w:rsidRPr="00504CE5" w:rsidRDefault="001F5D94" w:rsidP="00504CE5">
      <w:pPr>
        <w:pStyle w:val="ECHRPara"/>
        <w:rPr>
          <w:szCs w:val="24"/>
          <w:lang w:val="fr-FR"/>
        </w:rPr>
      </w:pPr>
      <w:r w:rsidRPr="00504CE5">
        <w:rPr>
          <w:szCs w:val="24"/>
          <w:lang w:val="fr-FR"/>
        </w:rPr>
        <w:t>Compte tenu de la similitude des griefs au titre de la Convention soulevés dans les affaires susmentionnées, la Cour estime approprié de joindre les requêtes.</w:t>
      </w:r>
    </w:p>
    <w:p w:rsidR="001F5D94" w:rsidRPr="00504CE5" w:rsidRDefault="001F5D94" w:rsidP="00504CE5">
      <w:pPr>
        <w:pStyle w:val="ECHRPara"/>
        <w:rPr>
          <w:bCs/>
          <w:lang w:val="fr-FR"/>
        </w:rPr>
      </w:pPr>
      <w:r w:rsidRPr="00504CE5">
        <w:rPr>
          <w:szCs w:val="24"/>
          <w:lang w:val="fr-FR"/>
        </w:rPr>
        <w:t>Les parties requérantes</w:t>
      </w:r>
      <w:r w:rsidRPr="00504CE5">
        <w:rPr>
          <w:lang w:val="fr-FR"/>
        </w:rPr>
        <w:t xml:space="preserve"> se plaignaient du manque de publicité de la procédure </w:t>
      </w:r>
      <w:r w:rsidRPr="00504CE5">
        <w:rPr>
          <w:bCs/>
          <w:lang w:val="fr-FR"/>
        </w:rPr>
        <w:t>en réparation à la suite d</w:t>
      </w:r>
      <w:r w:rsidR="00504CE5" w:rsidRPr="00504CE5">
        <w:rPr>
          <w:bCs/>
          <w:lang w:val="fr-FR"/>
        </w:rPr>
        <w:t>’</w:t>
      </w:r>
      <w:r w:rsidRPr="00504CE5">
        <w:rPr>
          <w:bCs/>
          <w:lang w:val="fr-FR"/>
        </w:rPr>
        <w:t>une détention préventive injuste.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Elles invoquaient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6 § 1 de la Convention.</w:t>
      </w:r>
    </w:p>
    <w:p w:rsidR="001F5D94" w:rsidRPr="00504CE5" w:rsidRDefault="001F5D94" w:rsidP="00504CE5">
      <w:pPr>
        <w:pStyle w:val="ECHRPara"/>
        <w:rPr>
          <w:szCs w:val="24"/>
          <w:lang w:val="fr-FR"/>
        </w:rPr>
      </w:pPr>
      <w:r w:rsidRPr="00504CE5">
        <w:rPr>
          <w:lang w:val="fr-FR"/>
        </w:rPr>
        <w:t>Après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échec des tentatives de règlement amiable, par</w:t>
      </w:r>
      <w:r w:rsidRPr="00504CE5">
        <w:rPr>
          <w:szCs w:val="24"/>
          <w:lang w:val="fr-FR"/>
        </w:rPr>
        <w:t xml:space="preserve"> des lettres du 12  avril 2016 et des 1</w:t>
      </w:r>
      <w:r w:rsidRPr="00504CE5">
        <w:rPr>
          <w:szCs w:val="24"/>
          <w:vertAlign w:val="superscript"/>
          <w:lang w:val="fr-FR"/>
        </w:rPr>
        <w:t>er</w:t>
      </w:r>
      <w:r w:rsidRPr="00504CE5">
        <w:rPr>
          <w:szCs w:val="24"/>
          <w:lang w:val="fr-FR"/>
        </w:rPr>
        <w:t>, 14 et 21 juin 2016, le Gouvernement a informé la Cour qu</w:t>
      </w:r>
      <w:r w:rsidR="00504CE5" w:rsidRPr="00504CE5">
        <w:rPr>
          <w:szCs w:val="24"/>
          <w:lang w:val="fr-FR"/>
        </w:rPr>
        <w:t>’</w:t>
      </w:r>
      <w:r w:rsidRPr="00504CE5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504CE5">
        <w:rPr>
          <w:lang w:val="fr-FR"/>
        </w:rPr>
        <w:t>les requêtes</w:t>
      </w:r>
      <w:r w:rsidRPr="00504CE5">
        <w:rPr>
          <w:szCs w:val="24"/>
          <w:lang w:val="fr-FR"/>
        </w:rPr>
        <w:t>. Il a en outre invité la Cour à rayer celle</w:t>
      </w:r>
      <w:r w:rsidRPr="00504CE5">
        <w:rPr>
          <w:lang w:val="fr-FR"/>
        </w:rPr>
        <w:t>s</w:t>
      </w:r>
      <w:r w:rsidRPr="00504CE5">
        <w:rPr>
          <w:szCs w:val="24"/>
          <w:lang w:val="fr-FR"/>
        </w:rPr>
        <w:t>-ci du rôle en application de l</w:t>
      </w:r>
      <w:r w:rsidR="00504CE5" w:rsidRPr="00504CE5">
        <w:rPr>
          <w:szCs w:val="24"/>
          <w:lang w:val="fr-FR"/>
        </w:rPr>
        <w:t>’</w:t>
      </w:r>
      <w:r w:rsidRPr="00504CE5">
        <w:rPr>
          <w:szCs w:val="24"/>
          <w:lang w:val="fr-FR"/>
        </w:rPr>
        <w:t>article 37 de la Convention.</w:t>
      </w:r>
    </w:p>
    <w:p w:rsidR="001F5D94" w:rsidRPr="00504CE5" w:rsidRDefault="001F5D94" w:rsidP="00504CE5">
      <w:pPr>
        <w:pStyle w:val="ECHRPara"/>
        <w:rPr>
          <w:szCs w:val="24"/>
          <w:lang w:val="fr-FR"/>
        </w:rPr>
      </w:pPr>
      <w:r w:rsidRPr="00504CE5">
        <w:rPr>
          <w:szCs w:val="24"/>
          <w:lang w:val="fr-FR"/>
        </w:rPr>
        <w:t>La déclaration était ainsi libellée :</w:t>
      </w:r>
    </w:p>
    <w:p w:rsidR="001F5D94" w:rsidRPr="00504CE5" w:rsidRDefault="001F5D94" w:rsidP="00504CE5">
      <w:pPr>
        <w:pStyle w:val="ECHRParaQuote"/>
        <w:rPr>
          <w:lang w:val="fr-FR"/>
        </w:rPr>
      </w:pPr>
      <w:r w:rsidRPr="00504CE5">
        <w:rPr>
          <w:lang w:val="fr-FR"/>
        </w:rPr>
        <w:t>« Considéré que, par un arrêt du 10 avril 2012, dans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 xml:space="preserve">affaire </w:t>
      </w:r>
      <w:r w:rsidRPr="00504CE5">
        <w:rPr>
          <w:i/>
          <w:lang w:val="fr-FR"/>
        </w:rPr>
        <w:t>Lorenzetti c. Italie</w:t>
      </w:r>
      <w:r w:rsidRPr="00504CE5">
        <w:rPr>
          <w:lang w:val="fr-FR"/>
        </w:rPr>
        <w:t xml:space="preserve"> n</w:t>
      </w:r>
      <w:r w:rsidRPr="00504CE5">
        <w:rPr>
          <w:vertAlign w:val="superscript"/>
          <w:lang w:val="fr-FR"/>
        </w:rPr>
        <w:t>o</w:t>
      </w:r>
      <w:r w:rsidRPr="00504CE5">
        <w:rPr>
          <w:lang w:val="fr-FR"/>
        </w:rPr>
        <w:t>32075/09, la Cour a estimé que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impossibilité pour le requérant de demander une audience publique devant la cour d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appel, dans la procédure de réparation pour la détention provisoire subie, au sens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314 § 1 du code de procédure pénale, constituait une violation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6 § 1 de la Convention ;</w:t>
      </w:r>
    </w:p>
    <w:p w:rsidR="001F5D94" w:rsidRPr="00504CE5" w:rsidRDefault="001F5D94" w:rsidP="00504CE5">
      <w:pPr>
        <w:pStyle w:val="ECHRParaQuote"/>
        <w:rPr>
          <w:lang w:val="fr-FR"/>
        </w:rPr>
      </w:pPr>
      <w:r w:rsidRPr="00504CE5">
        <w:rPr>
          <w:lang w:val="fr-FR"/>
        </w:rPr>
        <w:t>Considéré que dans les affaires en objet, ainsi que dans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affaire Lorenzetti, la violation s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analyse sur le fait que les requérants n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avaient pas la faculté d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obtenir sur demande une audience publique :</w:t>
      </w:r>
    </w:p>
    <w:p w:rsidR="001F5D94" w:rsidRPr="00504CE5" w:rsidRDefault="001F5D94" w:rsidP="00504CE5">
      <w:pPr>
        <w:pStyle w:val="ECHRParaQuote"/>
        <w:rPr>
          <w:lang w:val="fr-FR"/>
        </w:rPr>
      </w:pPr>
      <w:r w:rsidRPr="00504CE5">
        <w:rPr>
          <w:lang w:val="fr-FR"/>
        </w:rPr>
        <w:t>Le gouvernement italien reconnait la violation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6 § 1 de la Convention et souhaitant la réparer, offre, en plus du constat de violation, les frais de procédure à hauteur de 600 euros pour chaque requérant, à payer dans les trois mois suivant la date de notification de la décision de la décision de la Cour de radiation du rôle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affaire rendue conformément à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37 §1 de la Convention. A défaut de règlement dans ledit délai, le Gouvernement s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engage à verser, à compter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expiration de celui-ci et jusqu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affaire.</w:t>
      </w:r>
    </w:p>
    <w:p w:rsidR="001F5D94" w:rsidRPr="00504CE5" w:rsidRDefault="001F5D94" w:rsidP="00504CE5">
      <w:pPr>
        <w:pStyle w:val="ECHRParaQuote"/>
        <w:rPr>
          <w:lang w:val="fr-FR"/>
        </w:rPr>
      </w:pPr>
      <w:r w:rsidRPr="00504CE5">
        <w:rPr>
          <w:lang w:val="fr-FR"/>
        </w:rPr>
        <w:t>Le Gouvernement italien estime que, au sens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37 §1 de la Convention, il ne se justifie plus de poursuivre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examen et demande, donc, respectueusement à la Cour de disposer la radiation du rôle de la requête susmentionnée, car les conditions prévues par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62 A du règlement de la Cour sont remplies.</w:t>
      </w:r>
      <w:r w:rsidR="00896C4C" w:rsidRPr="00504CE5">
        <w:rPr>
          <w:lang w:val="fr-FR"/>
        </w:rPr>
        <w:t> </w:t>
      </w:r>
      <w:r w:rsidRPr="00504CE5">
        <w:rPr>
          <w:lang w:val="fr-FR"/>
        </w:rPr>
        <w:t>»</w:t>
      </w:r>
    </w:p>
    <w:p w:rsidR="001F5D94" w:rsidRPr="00504CE5" w:rsidRDefault="001F5D94" w:rsidP="00504CE5">
      <w:pPr>
        <w:pStyle w:val="ECHRPara"/>
        <w:ind w:firstLine="0"/>
        <w:rPr>
          <w:szCs w:val="24"/>
          <w:lang w:val="fr-FR"/>
        </w:rPr>
      </w:pPr>
      <w:r w:rsidRPr="00504CE5">
        <w:rPr>
          <w:szCs w:val="24"/>
          <w:lang w:val="fr-FR"/>
        </w:rPr>
        <w:t xml:space="preserve">Par des lettres des 27 juin, </w:t>
      </w:r>
      <w:r w:rsidRPr="00504CE5">
        <w:rPr>
          <w:lang w:val="fr-FR"/>
        </w:rPr>
        <w:t>1</w:t>
      </w:r>
      <w:r w:rsidRPr="00504CE5">
        <w:rPr>
          <w:vertAlign w:val="superscript"/>
          <w:lang w:val="fr-FR"/>
        </w:rPr>
        <w:t>er</w:t>
      </w:r>
      <w:r w:rsidRPr="00504CE5">
        <w:rPr>
          <w:lang w:val="fr-FR"/>
        </w:rPr>
        <w:t xml:space="preserve"> et 25 juillet </w:t>
      </w:r>
      <w:r w:rsidRPr="00504CE5">
        <w:rPr>
          <w:szCs w:val="24"/>
          <w:lang w:val="fr-FR"/>
        </w:rPr>
        <w:t xml:space="preserve">2016, les parties requérantes </w:t>
      </w:r>
      <w:r w:rsidRPr="00504CE5">
        <w:rPr>
          <w:lang w:val="fr-FR"/>
        </w:rPr>
        <w:t>ont</w:t>
      </w:r>
      <w:r w:rsidRPr="00504CE5">
        <w:rPr>
          <w:szCs w:val="24"/>
          <w:lang w:val="fr-FR"/>
        </w:rPr>
        <w:t xml:space="preserve"> </w:t>
      </w:r>
      <w:r w:rsidRPr="00504CE5">
        <w:rPr>
          <w:lang w:val="fr-FR"/>
        </w:rPr>
        <w:t>indiqué qu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elles n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étaient pas satisfaites des termes de la déclaration unilatérale. MM. Manzo, Bono et Yanchov et Mme Gubertova n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ont formulé aucun commentaire.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szCs w:val="24"/>
          <w:lang w:val="fr-FR"/>
        </w:rPr>
        <w:t>La Cour rappelle qu</w:t>
      </w:r>
      <w:r w:rsidR="00504CE5" w:rsidRPr="00504CE5">
        <w:rPr>
          <w:szCs w:val="24"/>
          <w:lang w:val="fr-FR"/>
        </w:rPr>
        <w:t>’</w:t>
      </w:r>
      <w:r w:rsidRPr="00504CE5">
        <w:rPr>
          <w:szCs w:val="24"/>
          <w:lang w:val="fr-FR"/>
        </w:rPr>
        <w:t>en vertu de l</w:t>
      </w:r>
      <w:r w:rsidR="00504CE5" w:rsidRPr="00504CE5">
        <w:rPr>
          <w:szCs w:val="24"/>
          <w:lang w:val="fr-FR"/>
        </w:rPr>
        <w:t>’</w:t>
      </w:r>
      <w:r w:rsidRPr="00504CE5">
        <w:rPr>
          <w:szCs w:val="24"/>
          <w:lang w:val="fr-FR"/>
        </w:rPr>
        <w:t xml:space="preserve">article </w:t>
      </w:r>
      <w:r w:rsidRPr="00504CE5">
        <w:rPr>
          <w:lang w:val="fr-FR"/>
        </w:rPr>
        <w:t>37 de la Convention, à tout moment de la procédure, elle peut décider de rayer une requête du rôle lorsque les circonstances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amènent à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une des conclusions énoncées aux alinéas a), b) ou c) du paragraphe 1 de cet article.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37 § 1 c) lui permet en particulier de rayer une affaire du rôle si :</w:t>
      </w:r>
    </w:p>
    <w:p w:rsidR="001F5D94" w:rsidRPr="00504CE5" w:rsidRDefault="001F5D94" w:rsidP="00504CE5">
      <w:pPr>
        <w:pStyle w:val="ECHRParaQuote"/>
        <w:rPr>
          <w:szCs w:val="24"/>
          <w:lang w:val="fr-FR"/>
        </w:rPr>
      </w:pPr>
      <w:r w:rsidRPr="00504CE5">
        <w:rPr>
          <w:lang w:val="fr-FR"/>
        </w:rPr>
        <w:lastRenderedPageBreak/>
        <w:t>« pour tout autre motif dont la Cour constate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existence, il ne se justifie plus de poursuivre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examen de la</w:t>
      </w:r>
      <w:r w:rsidR="00896C4C" w:rsidRPr="00504CE5">
        <w:rPr>
          <w:lang w:val="fr-FR"/>
        </w:rPr>
        <w:t xml:space="preserve"> requête</w:t>
      </w:r>
      <w:r w:rsidRPr="00504CE5">
        <w:rPr>
          <w:lang w:val="fr-FR"/>
        </w:rPr>
        <w:t> ».</w:t>
      </w:r>
    </w:p>
    <w:p w:rsidR="001F5D94" w:rsidRPr="00504CE5" w:rsidRDefault="001F5D94" w:rsidP="00504CE5">
      <w:pPr>
        <w:pStyle w:val="ECHRPara"/>
        <w:rPr>
          <w:szCs w:val="24"/>
          <w:lang w:val="fr-FR"/>
        </w:rPr>
      </w:pPr>
      <w:r w:rsidRPr="00504CE5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504CE5" w:rsidRPr="00504CE5">
        <w:rPr>
          <w:szCs w:val="24"/>
          <w:lang w:val="fr-FR"/>
        </w:rPr>
        <w:t>’</w:t>
      </w:r>
      <w:r w:rsidRPr="00504CE5">
        <w:rPr>
          <w:szCs w:val="24"/>
          <w:lang w:val="fr-FR"/>
        </w:rPr>
        <w:t>article 37 § 1 c) sur la base d</w:t>
      </w:r>
      <w:r w:rsidR="00504CE5" w:rsidRPr="00504CE5">
        <w:rPr>
          <w:szCs w:val="24"/>
          <w:lang w:val="fr-FR"/>
        </w:rPr>
        <w:t>’</w:t>
      </w:r>
      <w:r w:rsidRPr="00504CE5">
        <w:rPr>
          <w:szCs w:val="24"/>
          <w:lang w:val="fr-FR"/>
        </w:rPr>
        <w:t>une déclaration unilatérale du gouvernement défendeur même si le requérant souhaite que l</w:t>
      </w:r>
      <w:r w:rsidR="00504CE5" w:rsidRPr="00504CE5">
        <w:rPr>
          <w:szCs w:val="24"/>
          <w:lang w:val="fr-FR"/>
        </w:rPr>
        <w:t>’</w:t>
      </w:r>
      <w:r w:rsidRPr="00504CE5">
        <w:rPr>
          <w:szCs w:val="24"/>
          <w:lang w:val="fr-FR"/>
        </w:rPr>
        <w:t>examen de l</w:t>
      </w:r>
      <w:r w:rsidR="00504CE5" w:rsidRPr="00504CE5">
        <w:rPr>
          <w:szCs w:val="24"/>
          <w:lang w:val="fr-FR"/>
        </w:rPr>
        <w:t>’</w:t>
      </w:r>
      <w:r w:rsidRPr="00504CE5">
        <w:rPr>
          <w:szCs w:val="24"/>
          <w:lang w:val="fr-FR"/>
        </w:rPr>
        <w:t>affaire se poursuive.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À</w:t>
      </w:r>
      <w:r w:rsidRPr="00504CE5">
        <w:rPr>
          <w:szCs w:val="24"/>
          <w:lang w:val="fr-FR"/>
        </w:rPr>
        <w:t xml:space="preserve"> cette fin, la Cour a examiné la déclaration à la lumière des principes que consacre sa jurisprudence, en particulier l</w:t>
      </w:r>
      <w:r w:rsidR="00504CE5" w:rsidRPr="00504CE5">
        <w:rPr>
          <w:szCs w:val="24"/>
          <w:lang w:val="fr-FR"/>
        </w:rPr>
        <w:t>’</w:t>
      </w:r>
      <w:r w:rsidRPr="00504CE5">
        <w:rPr>
          <w:szCs w:val="24"/>
          <w:lang w:val="fr-FR"/>
        </w:rPr>
        <w:t xml:space="preserve">arrêt </w:t>
      </w:r>
      <w:r w:rsidRPr="00504CE5">
        <w:rPr>
          <w:i/>
          <w:lang w:val="fr-FR"/>
        </w:rPr>
        <w:t xml:space="preserve">Tahsin Acar </w:t>
      </w:r>
      <w:r w:rsidRPr="00504CE5">
        <w:rPr>
          <w:lang w:val="fr-FR"/>
        </w:rPr>
        <w:t>(</w:t>
      </w:r>
      <w:r w:rsidRPr="00504CE5">
        <w:rPr>
          <w:i/>
          <w:lang w:val="fr-FR"/>
        </w:rPr>
        <w:t>Tahsin Acar c. Turquie</w:t>
      </w:r>
      <w:r w:rsidRPr="00504CE5">
        <w:rPr>
          <w:iCs/>
          <w:lang w:val="fr-FR"/>
        </w:rPr>
        <w:t xml:space="preserve"> (question préliminaire) </w:t>
      </w:r>
      <w:r w:rsidRPr="00504CE5">
        <w:rPr>
          <w:lang w:val="fr-FR"/>
        </w:rPr>
        <w:t>[GC],</w:t>
      </w:r>
      <w:r w:rsidRPr="00504CE5">
        <w:rPr>
          <w:i/>
          <w:lang w:val="fr-FR"/>
        </w:rPr>
        <w:t xml:space="preserve"> </w:t>
      </w:r>
      <w:r w:rsidRPr="00504CE5">
        <w:rPr>
          <w:lang w:val="fr-FR"/>
        </w:rPr>
        <w:t>n</w:t>
      </w:r>
      <w:r w:rsidRPr="00504CE5">
        <w:rPr>
          <w:vertAlign w:val="superscript"/>
          <w:lang w:val="fr-FR"/>
        </w:rPr>
        <w:t xml:space="preserve">o </w:t>
      </w:r>
      <w:r w:rsidR="00896C4C" w:rsidRPr="00504CE5">
        <w:rPr>
          <w:lang w:val="fr-FR"/>
        </w:rPr>
        <w:t xml:space="preserve">26307/95, §§ </w:t>
      </w:r>
      <w:r w:rsidRPr="00504CE5">
        <w:rPr>
          <w:lang w:val="fr-FR"/>
        </w:rPr>
        <w:t>75</w:t>
      </w:r>
      <w:r w:rsidRPr="00504CE5">
        <w:rPr>
          <w:lang w:val="fr-FR"/>
        </w:rPr>
        <w:noBreakHyphen/>
        <w:t>77, CEDH 2003</w:t>
      </w:r>
      <w:r w:rsidRPr="00504CE5">
        <w:rPr>
          <w:lang w:val="fr-FR"/>
        </w:rPr>
        <w:noBreakHyphen/>
        <w:t xml:space="preserve">VI, </w:t>
      </w:r>
      <w:r w:rsidRPr="00504CE5">
        <w:rPr>
          <w:i/>
          <w:szCs w:val="24"/>
          <w:lang w:val="fr-FR"/>
        </w:rPr>
        <w:t xml:space="preserve">WAZA </w:t>
      </w:r>
      <w:r w:rsidRPr="00504CE5">
        <w:rPr>
          <w:i/>
          <w:iCs/>
          <w:szCs w:val="24"/>
          <w:lang w:val="fr-FR"/>
        </w:rPr>
        <w:t>Sp. z o.o.</w:t>
      </w:r>
      <w:r w:rsidRPr="00504CE5">
        <w:rPr>
          <w:i/>
          <w:szCs w:val="24"/>
          <w:lang w:val="fr-FR"/>
        </w:rPr>
        <w:t xml:space="preserve"> c. Pologne </w:t>
      </w:r>
      <w:r w:rsidRPr="00504CE5">
        <w:rPr>
          <w:szCs w:val="24"/>
          <w:lang w:val="fr-FR"/>
        </w:rPr>
        <w:t>(déc.), n</w:t>
      </w:r>
      <w:r w:rsidRPr="00504CE5">
        <w:rPr>
          <w:szCs w:val="24"/>
          <w:vertAlign w:val="superscript"/>
          <w:lang w:val="fr-FR"/>
        </w:rPr>
        <w:t>o</w:t>
      </w:r>
      <w:r w:rsidRPr="00504CE5">
        <w:rPr>
          <w:szCs w:val="24"/>
          <w:lang w:val="fr-FR"/>
        </w:rPr>
        <w:t xml:space="preserve"> 11602/02, 26 juin 2007, et </w:t>
      </w:r>
      <w:r w:rsidRPr="00504CE5">
        <w:rPr>
          <w:i/>
          <w:szCs w:val="24"/>
          <w:lang w:val="fr-FR"/>
        </w:rPr>
        <w:t>Sulwińska c. Pologne</w:t>
      </w:r>
      <w:r w:rsidRPr="00504CE5">
        <w:rPr>
          <w:szCs w:val="24"/>
          <w:lang w:val="fr-FR"/>
        </w:rPr>
        <w:t xml:space="preserve"> (déc.), n</w:t>
      </w:r>
      <w:r w:rsidRPr="00504CE5">
        <w:rPr>
          <w:szCs w:val="24"/>
          <w:vertAlign w:val="superscript"/>
          <w:lang w:val="fr-FR"/>
        </w:rPr>
        <w:t>o</w:t>
      </w:r>
      <w:r w:rsidRPr="00504CE5">
        <w:rPr>
          <w:szCs w:val="24"/>
          <w:lang w:val="fr-FR"/>
        </w:rPr>
        <w:t xml:space="preserve"> 28953/03, 18 septembre 2007</w:t>
      </w:r>
      <w:r w:rsidRPr="00504CE5">
        <w:rPr>
          <w:lang w:val="fr-FR"/>
        </w:rPr>
        <w:t>).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La Cour a établi dans un certain nombre d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affaires dirigées contre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Italie la nature et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étendue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obligation, pour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 xml:space="preserve">État défendeur, de reconnaître aux justiciables le droit de se voir offrir la possibilité de solliciter une audience publique dans le cadre des procédures </w:t>
      </w:r>
      <w:r w:rsidRPr="00504CE5">
        <w:rPr>
          <w:bCs/>
          <w:lang w:val="fr-FR"/>
        </w:rPr>
        <w:t>en réparation à la suite d</w:t>
      </w:r>
      <w:r w:rsidR="00504CE5" w:rsidRPr="00504CE5">
        <w:rPr>
          <w:bCs/>
          <w:lang w:val="fr-FR"/>
        </w:rPr>
        <w:t>’</w:t>
      </w:r>
      <w:r w:rsidRPr="00504CE5">
        <w:rPr>
          <w:bCs/>
          <w:lang w:val="fr-FR"/>
        </w:rPr>
        <w:t>une détention préventive injuste</w:t>
      </w:r>
      <w:r w:rsidRPr="00504CE5">
        <w:rPr>
          <w:lang w:val="fr-FR"/>
        </w:rPr>
        <w:t xml:space="preserve"> (voir, </w:t>
      </w:r>
      <w:r w:rsidRPr="00504CE5">
        <w:rPr>
          <w:i/>
          <w:lang w:val="fr-FR"/>
        </w:rPr>
        <w:t>Lorenzetti c. Italie</w:t>
      </w:r>
      <w:r w:rsidRPr="00504CE5">
        <w:rPr>
          <w:lang w:val="fr-FR"/>
        </w:rPr>
        <w:t>, n</w:t>
      </w:r>
      <w:r w:rsidRPr="00504CE5">
        <w:rPr>
          <w:vertAlign w:val="superscript"/>
          <w:lang w:val="fr-FR"/>
        </w:rPr>
        <w:t>o</w:t>
      </w:r>
      <w:r w:rsidRPr="00504CE5">
        <w:rPr>
          <w:lang w:val="fr-FR"/>
        </w:rPr>
        <w:t xml:space="preserve"> 32075/09</w:t>
      </w:r>
      <w:r w:rsidRPr="00504CE5">
        <w:rPr>
          <w:snapToGrid w:val="0"/>
          <w:szCs w:val="24"/>
          <w:lang w:val="fr-FR"/>
        </w:rPr>
        <w:t xml:space="preserve">, §§ 34-35, 10 </w:t>
      </w:r>
      <w:r w:rsidRPr="00504CE5">
        <w:rPr>
          <w:szCs w:val="24"/>
          <w:lang w:val="fr-FR"/>
        </w:rPr>
        <w:t>avril</w:t>
      </w:r>
      <w:r w:rsidRPr="00504CE5">
        <w:rPr>
          <w:snapToGrid w:val="0"/>
          <w:szCs w:val="24"/>
          <w:lang w:val="fr-FR"/>
        </w:rPr>
        <w:t xml:space="preserve"> 2012) ainsi que dans le cadre des procédures </w:t>
      </w:r>
      <w:r w:rsidRPr="00504CE5">
        <w:rPr>
          <w:lang w:val="fr-FR"/>
        </w:rPr>
        <w:t>visant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application des mesures de prévention patrimoniales (</w:t>
      </w:r>
      <w:r w:rsidRPr="00504CE5">
        <w:rPr>
          <w:i/>
          <w:lang w:val="fr-FR"/>
        </w:rPr>
        <w:t>Bocellari et Rizza c. Italie</w:t>
      </w:r>
      <w:r w:rsidRPr="00504CE5">
        <w:rPr>
          <w:lang w:val="fr-FR"/>
        </w:rPr>
        <w:t>, n</w:t>
      </w:r>
      <w:r w:rsidRPr="00504CE5">
        <w:rPr>
          <w:vertAlign w:val="superscript"/>
          <w:lang w:val="fr-FR"/>
        </w:rPr>
        <w:t>o</w:t>
      </w:r>
      <w:r w:rsidRPr="00504CE5">
        <w:rPr>
          <w:lang w:val="fr-FR"/>
        </w:rPr>
        <w:t xml:space="preserve"> 399/02, §§ 34-41, 13 novembre 2007, </w:t>
      </w:r>
      <w:r w:rsidRPr="00504CE5">
        <w:rPr>
          <w:i/>
          <w:iCs/>
          <w:lang w:val="fr-FR"/>
        </w:rPr>
        <w:t>Perre et autres c. Italie</w:t>
      </w:r>
      <w:r w:rsidRPr="00504CE5">
        <w:rPr>
          <w:lang w:val="fr-FR"/>
        </w:rPr>
        <w:t>, n</w:t>
      </w:r>
      <w:r w:rsidRPr="00504CE5">
        <w:rPr>
          <w:vertAlign w:val="superscript"/>
          <w:lang w:val="fr-FR"/>
        </w:rPr>
        <w:t>o</w:t>
      </w:r>
      <w:r w:rsidRPr="00504CE5">
        <w:rPr>
          <w:lang w:val="fr-FR"/>
        </w:rPr>
        <w:t xml:space="preserve"> 1905/05, §§ 23-26 , 8 juillet 2008, </w:t>
      </w:r>
      <w:r w:rsidRPr="00504CE5">
        <w:rPr>
          <w:i/>
          <w:iCs/>
          <w:lang w:val="fr-FR"/>
        </w:rPr>
        <w:t>Bongiorno et autres c. Italie</w:t>
      </w:r>
      <w:r w:rsidRPr="00504CE5">
        <w:rPr>
          <w:lang w:val="fr-FR"/>
        </w:rPr>
        <w:t>, n</w:t>
      </w:r>
      <w:r w:rsidRPr="00504CE5">
        <w:rPr>
          <w:vertAlign w:val="superscript"/>
          <w:lang w:val="fr-FR"/>
        </w:rPr>
        <w:t>o</w:t>
      </w:r>
      <w:r w:rsidRPr="00504CE5">
        <w:rPr>
          <w:lang w:val="fr-FR"/>
        </w:rPr>
        <w:t xml:space="preserve"> 4514/07, §§ 27-30, 5 janvier 2010, </w:t>
      </w:r>
      <w:r w:rsidRPr="00504CE5">
        <w:rPr>
          <w:i/>
          <w:iCs/>
          <w:lang w:val="fr-FR"/>
        </w:rPr>
        <w:t>Leone c. Italie</w:t>
      </w:r>
      <w:r w:rsidRPr="00504CE5">
        <w:rPr>
          <w:lang w:val="fr-FR"/>
        </w:rPr>
        <w:t>, n</w:t>
      </w:r>
      <w:r w:rsidRPr="00504CE5">
        <w:rPr>
          <w:vertAlign w:val="superscript"/>
          <w:lang w:val="fr-FR"/>
        </w:rPr>
        <w:t>o</w:t>
      </w:r>
      <w:r w:rsidRPr="00504CE5">
        <w:rPr>
          <w:lang w:val="fr-FR"/>
        </w:rPr>
        <w:t xml:space="preserve"> 30506/07, §§ 26-29, 2 février 2010, et </w:t>
      </w:r>
      <w:r w:rsidRPr="00504CE5">
        <w:rPr>
          <w:i/>
          <w:iCs/>
          <w:lang w:val="fr-FR"/>
        </w:rPr>
        <w:t>Capitani et Campanella c. Italie</w:t>
      </w:r>
      <w:r w:rsidRPr="00504CE5">
        <w:rPr>
          <w:lang w:val="fr-FR"/>
        </w:rPr>
        <w:t>, n</w:t>
      </w:r>
      <w:r w:rsidRPr="00504CE5">
        <w:rPr>
          <w:vertAlign w:val="superscript"/>
          <w:lang w:val="fr-FR"/>
        </w:rPr>
        <w:t>o</w:t>
      </w:r>
      <w:r w:rsidRPr="00504CE5">
        <w:rPr>
          <w:lang w:val="fr-FR"/>
        </w:rPr>
        <w:t xml:space="preserve"> 24920/07, §§ 26-29, 17 mai 2011). Lorsque la Cour a conclu à la violation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6 § 1 de la Convention, elle a considéré que les constats de violation constituaient une satisfaction équitable suffisante pour le préjudice moral subi par les requérants (</w:t>
      </w:r>
      <w:r w:rsidRPr="00504CE5">
        <w:rPr>
          <w:i/>
          <w:lang w:val="fr-FR"/>
        </w:rPr>
        <w:t>Lorenzetti</w:t>
      </w:r>
      <w:r w:rsidR="00896C4C" w:rsidRPr="00504CE5">
        <w:rPr>
          <w:i/>
          <w:lang w:val="fr-FR"/>
        </w:rPr>
        <w:t>,</w:t>
      </w:r>
      <w:r w:rsidRPr="00504CE5">
        <w:rPr>
          <w:i/>
          <w:lang w:val="fr-FR"/>
        </w:rPr>
        <w:t xml:space="preserve"> </w:t>
      </w:r>
      <w:r w:rsidRPr="00504CE5">
        <w:rPr>
          <w:lang w:val="fr-FR"/>
        </w:rPr>
        <w:t>précité</w:t>
      </w:r>
      <w:r w:rsidR="00896C4C" w:rsidRPr="00504CE5">
        <w:rPr>
          <w:lang w:val="fr-FR"/>
        </w:rPr>
        <w:t>,</w:t>
      </w:r>
      <w:r w:rsidRPr="00504CE5">
        <w:rPr>
          <w:lang w:val="fr-FR"/>
        </w:rPr>
        <w:t xml:space="preserve"> § 52, </w:t>
      </w:r>
      <w:r w:rsidR="00896C4C" w:rsidRPr="00504CE5">
        <w:rPr>
          <w:i/>
          <w:iCs/>
          <w:lang w:val="fr-FR"/>
        </w:rPr>
        <w:t xml:space="preserve">Frascati c. </w:t>
      </w:r>
      <w:r w:rsidRPr="00504CE5">
        <w:rPr>
          <w:i/>
          <w:iCs/>
          <w:lang w:val="fr-FR"/>
        </w:rPr>
        <w:t xml:space="preserve">Italie </w:t>
      </w:r>
      <w:r w:rsidRPr="00504CE5">
        <w:rPr>
          <w:lang w:val="fr-FR"/>
        </w:rPr>
        <w:t>(déc.), n</w:t>
      </w:r>
      <w:r w:rsidRPr="00504CE5">
        <w:rPr>
          <w:vertAlign w:val="superscript"/>
          <w:lang w:val="fr-FR"/>
        </w:rPr>
        <w:t>o</w:t>
      </w:r>
      <w:r w:rsidRPr="00504CE5">
        <w:rPr>
          <w:lang w:val="fr-FR"/>
        </w:rPr>
        <w:t xml:space="preserve"> 5382/08, § 20, 13</w:t>
      </w:r>
      <w:r w:rsidR="00896C4C" w:rsidRPr="00504CE5">
        <w:rPr>
          <w:lang w:val="fr-FR"/>
        </w:rPr>
        <w:t xml:space="preserve"> mai 2014, </w:t>
      </w:r>
      <w:r w:rsidRPr="00504CE5">
        <w:rPr>
          <w:lang w:val="fr-FR"/>
        </w:rPr>
        <w:t xml:space="preserve">et </w:t>
      </w:r>
      <w:r w:rsidRPr="00504CE5">
        <w:rPr>
          <w:i/>
          <w:iCs/>
          <w:lang w:val="fr-FR"/>
        </w:rPr>
        <w:t>Cacucci et Sabatelli c. Italie</w:t>
      </w:r>
      <w:r w:rsidRPr="00504CE5">
        <w:rPr>
          <w:lang w:val="fr-FR"/>
        </w:rPr>
        <w:t xml:space="preserve"> (déc.), n</w:t>
      </w:r>
      <w:r w:rsidRPr="00504CE5">
        <w:rPr>
          <w:vertAlign w:val="superscript"/>
          <w:lang w:val="fr-FR"/>
        </w:rPr>
        <w:t>o</w:t>
      </w:r>
      <w:r w:rsidRPr="00504CE5">
        <w:rPr>
          <w:lang w:val="fr-FR"/>
        </w:rPr>
        <w:t xml:space="preserve"> 29797/09, § 12, 25 août 2015).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Eu égard à la nature des concessions que renferme la déclaration du Gouvernement, ainsi qu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au montant proposé pour frais et dépens qu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elle considère raisonnable, la Cour estime qu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il ne se justifie plus de poursuivre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examen des requêtes (article 37 § 1 c).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homme garantis par la Convention et ses Protocoles n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exige pas qu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elle poursuive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examen des requêtes (article</w:t>
      </w:r>
      <w:r w:rsidR="007B7AC9" w:rsidRPr="00504CE5">
        <w:rPr>
          <w:lang w:val="fr-FR"/>
        </w:rPr>
        <w:t> </w:t>
      </w:r>
      <w:r w:rsidRPr="00504CE5">
        <w:rPr>
          <w:lang w:val="fr-FR"/>
        </w:rPr>
        <w:t>37</w:t>
      </w:r>
      <w:r w:rsidR="006E561B" w:rsidRPr="00504CE5">
        <w:rPr>
          <w:lang w:val="fr-FR"/>
        </w:rPr>
        <w:t> </w:t>
      </w:r>
      <w:r w:rsidRPr="00504CE5">
        <w:rPr>
          <w:lang w:val="fr-FR"/>
        </w:rPr>
        <w:t xml:space="preserve">§ 1 </w:t>
      </w:r>
      <w:r w:rsidRPr="00504CE5">
        <w:rPr>
          <w:i/>
          <w:iCs/>
          <w:lang w:val="fr-FR"/>
        </w:rPr>
        <w:t>in fine</w:t>
      </w:r>
      <w:r w:rsidRPr="00504CE5">
        <w:rPr>
          <w:lang w:val="fr-FR"/>
        </w:rPr>
        <w:t>).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37 § 2 de la Convention (</w:t>
      </w:r>
      <w:r w:rsidRPr="00504CE5">
        <w:rPr>
          <w:i/>
          <w:lang w:val="fr-FR"/>
        </w:rPr>
        <w:t>Josipović c. Serbie</w:t>
      </w:r>
      <w:r w:rsidRPr="00504CE5">
        <w:rPr>
          <w:lang w:val="fr-FR"/>
        </w:rPr>
        <w:t xml:space="preserve"> (déc.), nº 18369/07, 4 mars 2008).</w:t>
      </w:r>
    </w:p>
    <w:p w:rsidR="001F5D94" w:rsidRPr="00504CE5" w:rsidRDefault="001F5D94" w:rsidP="00504CE5">
      <w:pPr>
        <w:pStyle w:val="ECHRPara"/>
        <w:rPr>
          <w:lang w:val="fr-FR"/>
        </w:rPr>
      </w:pPr>
      <w:r w:rsidRPr="00504CE5">
        <w:rPr>
          <w:lang w:val="fr-FR"/>
        </w:rPr>
        <w:t>En conséquence, il convient de rayer les affaires du rôle.</w:t>
      </w:r>
    </w:p>
    <w:p w:rsidR="001F5D94" w:rsidRPr="00504CE5" w:rsidRDefault="001F5D94" w:rsidP="00504CE5">
      <w:pPr>
        <w:pStyle w:val="JuParaLast"/>
        <w:rPr>
          <w:lang w:val="fr-FR"/>
        </w:rPr>
      </w:pPr>
      <w:r w:rsidRPr="00504CE5">
        <w:rPr>
          <w:lang w:val="fr-FR"/>
        </w:rPr>
        <w:lastRenderedPageBreak/>
        <w:t>Par ces motifs, la Cour, à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unanimité,</w:t>
      </w:r>
    </w:p>
    <w:p w:rsidR="001F5D94" w:rsidRPr="00504CE5" w:rsidRDefault="001F5D94" w:rsidP="00504CE5">
      <w:pPr>
        <w:pStyle w:val="DecList"/>
        <w:rPr>
          <w:lang w:val="fr-FR"/>
        </w:rPr>
      </w:pPr>
      <w:r w:rsidRPr="00504CE5">
        <w:rPr>
          <w:i/>
          <w:lang w:val="fr-FR"/>
        </w:rPr>
        <w:t xml:space="preserve">Décide </w:t>
      </w:r>
      <w:r w:rsidRPr="00504CE5">
        <w:rPr>
          <w:lang w:val="fr-FR"/>
        </w:rPr>
        <w:t>de joindre les requêtes ;</w:t>
      </w:r>
    </w:p>
    <w:p w:rsidR="001F5D94" w:rsidRPr="00504CE5" w:rsidRDefault="001F5D94" w:rsidP="00504CE5">
      <w:pPr>
        <w:pStyle w:val="DecList"/>
        <w:rPr>
          <w:i/>
          <w:lang w:val="fr-FR"/>
        </w:rPr>
      </w:pPr>
      <w:r w:rsidRPr="00504CE5">
        <w:rPr>
          <w:i/>
          <w:lang w:val="fr-FR"/>
        </w:rPr>
        <w:t>Prend acte</w:t>
      </w:r>
      <w:r w:rsidRPr="00504CE5">
        <w:rPr>
          <w:lang w:val="fr-FR"/>
        </w:rPr>
        <w:t xml:space="preserve"> des termes de la déclaration du gouvernement défendeur concernant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 6 § 1 de la Convention et des modalités prévues pour assurer le respect des engagements ainsi pris ;</w:t>
      </w:r>
    </w:p>
    <w:p w:rsidR="001F5D94" w:rsidRPr="00504CE5" w:rsidRDefault="001F5D94" w:rsidP="00504CE5">
      <w:pPr>
        <w:pStyle w:val="DecList"/>
        <w:rPr>
          <w:lang w:val="fr-FR"/>
        </w:rPr>
      </w:pPr>
      <w:r w:rsidRPr="00504CE5">
        <w:rPr>
          <w:i/>
          <w:lang w:val="fr-FR"/>
        </w:rPr>
        <w:t>Décide</w:t>
      </w:r>
      <w:r w:rsidRPr="00504CE5">
        <w:rPr>
          <w:lang w:val="fr-FR"/>
        </w:rPr>
        <w:t xml:space="preserve"> de rayer les requêtes du rôle en application de l</w:t>
      </w:r>
      <w:r w:rsidR="00504CE5" w:rsidRPr="00504CE5">
        <w:rPr>
          <w:lang w:val="fr-FR"/>
        </w:rPr>
        <w:t>’</w:t>
      </w:r>
      <w:r w:rsidRPr="00504CE5">
        <w:rPr>
          <w:lang w:val="fr-FR"/>
        </w:rPr>
        <w:t>article 37 § 1 c) de la Convention.</w:t>
      </w:r>
    </w:p>
    <w:p w:rsidR="006544C4" w:rsidRPr="00504CE5" w:rsidRDefault="006544C4" w:rsidP="00504CE5">
      <w:pPr>
        <w:pStyle w:val="ECHRPara"/>
        <w:rPr>
          <w:sz w:val="2"/>
          <w:szCs w:val="2"/>
          <w:lang w:val="fr-FR" w:eastAsia="en-GB"/>
        </w:rPr>
      </w:pPr>
    </w:p>
    <w:p w:rsidR="00050A32" w:rsidRPr="00504CE5" w:rsidRDefault="00F40988" w:rsidP="00504CE5">
      <w:pPr>
        <w:pStyle w:val="JuParaLast"/>
        <w:rPr>
          <w:lang w:val="fr-FR"/>
        </w:rPr>
      </w:pPr>
      <w:r w:rsidRPr="00504CE5">
        <w:rPr>
          <w:szCs w:val="24"/>
          <w:lang w:val="fr-FR"/>
        </w:rPr>
        <w:t xml:space="preserve">Fait en français puis communiqué par écrit le </w:t>
      </w:r>
      <w:r w:rsidR="001F5D94" w:rsidRPr="00504CE5">
        <w:rPr>
          <w:szCs w:val="24"/>
          <w:lang w:val="fr-FR"/>
        </w:rPr>
        <w:t>27 octobre 2016</w:t>
      </w:r>
      <w:r w:rsidRPr="00504CE5">
        <w:rPr>
          <w:lang w:val="fr-FR"/>
        </w:rPr>
        <w:t>.</w:t>
      </w:r>
    </w:p>
    <w:p w:rsidR="00F709AF" w:rsidRPr="00504CE5" w:rsidRDefault="00F709AF" w:rsidP="00504CE5">
      <w:pPr>
        <w:pStyle w:val="JuSigned"/>
        <w:tabs>
          <w:tab w:val="clear" w:pos="6407"/>
          <w:tab w:val="center" w:pos="6663"/>
        </w:tabs>
        <w:rPr>
          <w:lang w:val="fr-FR"/>
        </w:rPr>
      </w:pPr>
      <w:r w:rsidRPr="00504CE5">
        <w:rPr>
          <w:lang w:val="fr-FR"/>
        </w:rPr>
        <w:tab/>
        <w:t>Renata Degener</w:t>
      </w:r>
      <w:r w:rsidRPr="00504CE5">
        <w:rPr>
          <w:lang w:val="fr-FR"/>
        </w:rPr>
        <w:tab/>
        <w:t>Ledi Bianku</w:t>
      </w:r>
      <w:r w:rsidR="00504CE5" w:rsidRPr="00504CE5">
        <w:rPr>
          <w:lang w:val="fr-FR"/>
        </w:rPr>
        <w:br/>
      </w:r>
      <w:r w:rsidRPr="00504CE5">
        <w:rPr>
          <w:lang w:val="fr-FR"/>
        </w:rPr>
        <w:t>Greffière adjointe</w:t>
      </w:r>
      <w:r w:rsidRPr="00504CE5">
        <w:rPr>
          <w:lang w:val="fr-FR"/>
        </w:rPr>
        <w:tab/>
        <w:t>Président</w:t>
      </w:r>
    </w:p>
    <w:p w:rsidR="00805134" w:rsidRPr="00504CE5" w:rsidRDefault="00805134" w:rsidP="00504CE5">
      <w:pPr>
        <w:rPr>
          <w:lang w:val="fr-FR"/>
        </w:rPr>
      </w:pPr>
    </w:p>
    <w:p w:rsidR="00805134" w:rsidRPr="00504CE5" w:rsidRDefault="00805134" w:rsidP="00504CE5">
      <w:pPr>
        <w:rPr>
          <w:lang w:val="fr-FR"/>
        </w:rPr>
      </w:pPr>
    </w:p>
    <w:p w:rsidR="00805134" w:rsidRPr="00504CE5" w:rsidRDefault="00805134" w:rsidP="00504CE5">
      <w:pPr>
        <w:rPr>
          <w:lang w:val="fr-FR"/>
        </w:rPr>
      </w:pPr>
    </w:p>
    <w:p w:rsidR="001F5D94" w:rsidRPr="00504CE5" w:rsidRDefault="001F5D94" w:rsidP="00504CE5">
      <w:pPr>
        <w:rPr>
          <w:lang w:val="fr-FR"/>
        </w:rPr>
      </w:pPr>
      <w:r w:rsidRPr="00504CE5">
        <w:rPr>
          <w:lang w:val="fr-FR"/>
        </w:rPr>
        <w:br w:type="page"/>
      </w:r>
    </w:p>
    <w:p w:rsidR="001F5D94" w:rsidRPr="00504CE5" w:rsidRDefault="001F5D94" w:rsidP="00504CE5">
      <w:pPr>
        <w:pStyle w:val="JuTitle"/>
        <w:rPr>
          <w:lang w:val="fr-FR"/>
        </w:rPr>
      </w:pPr>
    </w:p>
    <w:p w:rsidR="004D15F3" w:rsidRPr="00504CE5" w:rsidRDefault="001F5D94" w:rsidP="00504CE5">
      <w:pPr>
        <w:pStyle w:val="JuTitle"/>
        <w:rPr>
          <w:lang w:val="fr-FR"/>
        </w:rPr>
      </w:pPr>
      <w:r w:rsidRPr="00504CE5">
        <w:rPr>
          <w:lang w:val="fr-FR"/>
        </w:rPr>
        <w:t>ANNEXE</w:t>
      </w:r>
    </w:p>
    <w:tbl>
      <w:tblPr>
        <w:tblStyle w:val="ECHRListTable"/>
        <w:tblW w:w="9073" w:type="dxa"/>
        <w:tblInd w:w="-318" w:type="dxa"/>
        <w:tblLook w:val="05E0" w:firstRow="1" w:lastRow="1" w:firstColumn="1" w:lastColumn="1" w:noHBand="0" w:noVBand="1"/>
      </w:tblPr>
      <w:tblGrid>
        <w:gridCol w:w="568"/>
        <w:gridCol w:w="1418"/>
        <w:gridCol w:w="1417"/>
        <w:gridCol w:w="2552"/>
        <w:gridCol w:w="3118"/>
      </w:tblGrid>
      <w:tr w:rsidR="001F5D94" w:rsidRPr="00504CE5" w:rsidTr="00AF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:rsidR="001F5D94" w:rsidRPr="00504CE5" w:rsidRDefault="001F5D94" w:rsidP="00504CE5">
            <w:pPr>
              <w:jc w:val="left"/>
              <w:rPr>
                <w:lang w:val="fr-FR"/>
              </w:rPr>
            </w:pPr>
            <w:bookmarkStart w:id="1" w:name="TableStart"/>
            <w:bookmarkEnd w:id="1"/>
            <w:r w:rsidRPr="00504CE5">
              <w:rPr>
                <w:lang w:val="fr-FR"/>
              </w:rPr>
              <w:t>N</w:t>
            </w:r>
            <w:r w:rsidRPr="00504CE5">
              <w:rPr>
                <w:vertAlign w:val="superscript"/>
                <w:lang w:val="fr-FR"/>
              </w:rPr>
              <w:t>o</w:t>
            </w:r>
          </w:p>
        </w:tc>
        <w:tc>
          <w:tcPr>
            <w:tcW w:w="1418" w:type="dxa"/>
          </w:tcPr>
          <w:p w:rsidR="001F5D94" w:rsidRPr="00504CE5" w:rsidRDefault="001F5D94" w:rsidP="00504CE5">
            <w:pPr>
              <w:jc w:val="left"/>
              <w:rPr>
                <w:lang w:val="fr-FR"/>
              </w:rPr>
            </w:pPr>
            <w:r w:rsidRPr="00504CE5">
              <w:rPr>
                <w:lang w:val="fr-FR"/>
              </w:rPr>
              <w:t>Requête N</w:t>
            </w:r>
            <w:r w:rsidRPr="00504CE5">
              <w:rPr>
                <w:vertAlign w:val="superscript"/>
                <w:lang w:val="fr-FR"/>
              </w:rPr>
              <w:t>o</w:t>
            </w:r>
          </w:p>
        </w:tc>
        <w:tc>
          <w:tcPr>
            <w:tcW w:w="1417" w:type="dxa"/>
          </w:tcPr>
          <w:p w:rsidR="001F5D94" w:rsidRPr="00504CE5" w:rsidRDefault="001F5D94" w:rsidP="00504CE5">
            <w:pPr>
              <w:jc w:val="left"/>
              <w:rPr>
                <w:lang w:val="fr-FR"/>
              </w:rPr>
            </w:pPr>
            <w:r w:rsidRPr="00504CE5">
              <w:rPr>
                <w:lang w:val="fr-FR"/>
              </w:rPr>
              <w:t>Introduite le</w:t>
            </w:r>
          </w:p>
        </w:tc>
        <w:tc>
          <w:tcPr>
            <w:tcW w:w="2552" w:type="dxa"/>
          </w:tcPr>
          <w:p w:rsidR="001F5D94" w:rsidRPr="00504CE5" w:rsidRDefault="001F5D94" w:rsidP="00504CE5">
            <w:pPr>
              <w:jc w:val="left"/>
              <w:rPr>
                <w:lang w:val="fr-FR"/>
              </w:rPr>
            </w:pPr>
            <w:r w:rsidRPr="00504CE5">
              <w:rPr>
                <w:lang w:val="fr-FR"/>
              </w:rPr>
              <w:t>Requérant</w:t>
            </w:r>
          </w:p>
          <w:p w:rsidR="001F5D94" w:rsidRPr="00504CE5" w:rsidRDefault="001F5D94" w:rsidP="00504CE5">
            <w:pPr>
              <w:jc w:val="left"/>
              <w:rPr>
                <w:lang w:val="fr-FR"/>
              </w:rPr>
            </w:pPr>
            <w:r w:rsidRPr="00504CE5">
              <w:rPr>
                <w:lang w:val="fr-FR"/>
              </w:rPr>
              <w:t>Date de naissance</w:t>
            </w:r>
          </w:p>
          <w:p w:rsidR="001F5D94" w:rsidRPr="00504CE5" w:rsidRDefault="001F5D94" w:rsidP="00504CE5">
            <w:pPr>
              <w:jc w:val="left"/>
              <w:rPr>
                <w:lang w:val="fr-FR"/>
              </w:rPr>
            </w:pPr>
            <w:r w:rsidRPr="00504CE5">
              <w:rPr>
                <w:lang w:val="fr-FR"/>
              </w:rPr>
              <w:t>Lieu de résidence</w:t>
            </w:r>
          </w:p>
        </w:tc>
        <w:tc>
          <w:tcPr>
            <w:tcW w:w="3118" w:type="dxa"/>
          </w:tcPr>
          <w:p w:rsidR="001F5D94" w:rsidRPr="00504CE5" w:rsidRDefault="001F5D94" w:rsidP="00504CE5">
            <w:pPr>
              <w:jc w:val="left"/>
              <w:rPr>
                <w:lang w:val="fr-FR"/>
              </w:rPr>
            </w:pPr>
            <w:r w:rsidRPr="00504CE5">
              <w:rPr>
                <w:lang w:val="fr-FR"/>
              </w:rPr>
              <w:t>Représenté par</w:t>
            </w:r>
          </w:p>
        </w:tc>
      </w:tr>
      <w:tr w:rsidR="001F5D94" w:rsidRPr="00504CE5" w:rsidTr="00AF663D">
        <w:tc>
          <w:tcPr>
            <w:tcW w:w="568" w:type="dxa"/>
          </w:tcPr>
          <w:p w:rsidR="001F5D94" w:rsidRPr="00504CE5" w:rsidRDefault="001F5D94" w:rsidP="00504CE5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1F5D94" w:rsidRPr="00504CE5" w:rsidRDefault="001F5D94" w:rsidP="00504CE5">
            <w:pPr>
              <w:jc w:val="left"/>
              <w:rPr>
                <w:lang w:val="fr-FR"/>
              </w:rPr>
            </w:pPr>
            <w:r w:rsidRPr="00504CE5">
              <w:rPr>
                <w:lang w:val="fr-FR"/>
              </w:rPr>
              <w:t>34508/12</w:t>
            </w:r>
          </w:p>
        </w:tc>
        <w:tc>
          <w:tcPr>
            <w:tcW w:w="1417" w:type="dxa"/>
          </w:tcPr>
          <w:p w:rsidR="001F5D94" w:rsidRPr="00504CE5" w:rsidRDefault="001F5D94" w:rsidP="00504CE5">
            <w:pPr>
              <w:jc w:val="left"/>
              <w:rPr>
                <w:lang w:val="fr-FR"/>
              </w:rPr>
            </w:pPr>
            <w:r w:rsidRPr="00504CE5">
              <w:rPr>
                <w:lang w:val="fr-FR"/>
              </w:rPr>
              <w:t>25/05/2012</w:t>
            </w:r>
          </w:p>
        </w:tc>
        <w:tc>
          <w:tcPr>
            <w:tcW w:w="2552" w:type="dxa"/>
          </w:tcPr>
          <w:p w:rsidR="001F5D94" w:rsidRPr="00504CE5" w:rsidRDefault="001F5D94" w:rsidP="00504CE5">
            <w:pPr>
              <w:jc w:val="left"/>
              <w:rPr>
                <w:b/>
              </w:rPr>
            </w:pPr>
            <w:r w:rsidRPr="00504CE5">
              <w:rPr>
                <w:b/>
                <w:lang w:val="fr-FR"/>
              </w:rPr>
              <w:t>Marc</w:t>
            </w:r>
            <w:r w:rsidRPr="00504CE5">
              <w:rPr>
                <w:b/>
              </w:rPr>
              <w:t>o MANZO</w:t>
            </w:r>
          </w:p>
          <w:p w:rsidR="001F5D94" w:rsidRPr="00504CE5" w:rsidRDefault="001F5D94" w:rsidP="00504CE5">
            <w:pPr>
              <w:jc w:val="left"/>
            </w:pPr>
            <w:r w:rsidRPr="00504CE5">
              <w:t>05/01/1965</w:t>
            </w:r>
          </w:p>
          <w:p w:rsidR="001F5D94" w:rsidRPr="00504CE5" w:rsidRDefault="001F5D94" w:rsidP="00504CE5">
            <w:pPr>
              <w:jc w:val="left"/>
            </w:pPr>
            <w:r w:rsidRPr="00504CE5">
              <w:t>Trapani</w:t>
            </w:r>
          </w:p>
          <w:p w:rsidR="001F5D94" w:rsidRPr="00504CE5" w:rsidRDefault="001F5D94" w:rsidP="00504CE5">
            <w:pPr>
              <w:jc w:val="left"/>
            </w:pPr>
          </w:p>
        </w:tc>
        <w:tc>
          <w:tcPr>
            <w:tcW w:w="3118" w:type="dxa"/>
          </w:tcPr>
          <w:p w:rsidR="001F5D94" w:rsidRPr="00504CE5" w:rsidRDefault="001F5D94" w:rsidP="00504CE5">
            <w:pPr>
              <w:jc w:val="left"/>
            </w:pPr>
            <w:r w:rsidRPr="00504CE5">
              <w:t>Sandro FÙRFARO</w:t>
            </w:r>
          </w:p>
          <w:p w:rsidR="00AF663D" w:rsidRPr="00504CE5" w:rsidRDefault="00AF663D" w:rsidP="00504CE5">
            <w:pPr>
              <w:jc w:val="left"/>
            </w:pPr>
          </w:p>
        </w:tc>
      </w:tr>
      <w:tr w:rsidR="001F5D94" w:rsidRPr="00504CE5" w:rsidTr="00AF663D">
        <w:tc>
          <w:tcPr>
            <w:tcW w:w="568" w:type="dxa"/>
          </w:tcPr>
          <w:p w:rsidR="001F5D94" w:rsidRPr="00504CE5" w:rsidRDefault="001F5D94" w:rsidP="00504CE5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1F5D94" w:rsidRPr="00504CE5" w:rsidRDefault="001F5D94" w:rsidP="00504CE5">
            <w:pPr>
              <w:jc w:val="left"/>
            </w:pPr>
            <w:r w:rsidRPr="00504CE5">
              <w:t>65215/12</w:t>
            </w:r>
          </w:p>
        </w:tc>
        <w:tc>
          <w:tcPr>
            <w:tcW w:w="1417" w:type="dxa"/>
          </w:tcPr>
          <w:p w:rsidR="001F5D94" w:rsidRPr="00504CE5" w:rsidRDefault="001F5D94" w:rsidP="00504CE5">
            <w:pPr>
              <w:jc w:val="left"/>
            </w:pPr>
            <w:r w:rsidRPr="00504CE5">
              <w:t>02/10/2012</w:t>
            </w:r>
          </w:p>
        </w:tc>
        <w:tc>
          <w:tcPr>
            <w:tcW w:w="2552" w:type="dxa"/>
          </w:tcPr>
          <w:p w:rsidR="001F5D94" w:rsidRPr="00504CE5" w:rsidRDefault="001F5D94" w:rsidP="00504CE5">
            <w:pPr>
              <w:jc w:val="left"/>
              <w:rPr>
                <w:b/>
              </w:rPr>
            </w:pPr>
            <w:r w:rsidRPr="00504CE5">
              <w:rPr>
                <w:b/>
              </w:rPr>
              <w:t>Robert BRATIANU</w:t>
            </w:r>
          </w:p>
          <w:p w:rsidR="001F5D94" w:rsidRPr="00504CE5" w:rsidRDefault="001F5D94" w:rsidP="00504CE5">
            <w:pPr>
              <w:jc w:val="left"/>
            </w:pPr>
            <w:r w:rsidRPr="00504CE5">
              <w:t>26/01/1983</w:t>
            </w:r>
          </w:p>
          <w:p w:rsidR="001F5D94" w:rsidRPr="00504CE5" w:rsidRDefault="001F5D94" w:rsidP="00504CE5">
            <w:pPr>
              <w:jc w:val="left"/>
            </w:pPr>
            <w:r w:rsidRPr="00504CE5">
              <w:t>Pérouse</w:t>
            </w:r>
          </w:p>
          <w:p w:rsidR="001F5D94" w:rsidRPr="00504CE5" w:rsidRDefault="001F5D94" w:rsidP="00504CE5">
            <w:pPr>
              <w:jc w:val="left"/>
            </w:pPr>
          </w:p>
        </w:tc>
        <w:tc>
          <w:tcPr>
            <w:tcW w:w="3118" w:type="dxa"/>
          </w:tcPr>
          <w:p w:rsidR="001F5D94" w:rsidRPr="00504CE5" w:rsidRDefault="001F5D94" w:rsidP="00504CE5">
            <w:pPr>
              <w:jc w:val="left"/>
            </w:pPr>
            <w:r w:rsidRPr="00504CE5">
              <w:t>Biagina D</w:t>
            </w:r>
            <w:r w:rsidR="00504CE5" w:rsidRPr="00504CE5">
              <w:t>’</w:t>
            </w:r>
            <w:r w:rsidRPr="00504CE5">
              <w:t>ALASCIO</w:t>
            </w:r>
          </w:p>
          <w:p w:rsidR="00AF663D" w:rsidRPr="00504CE5" w:rsidRDefault="00AF663D" w:rsidP="00504CE5">
            <w:pPr>
              <w:jc w:val="left"/>
            </w:pPr>
          </w:p>
        </w:tc>
      </w:tr>
      <w:tr w:rsidR="001F5D94" w:rsidRPr="00504CE5" w:rsidTr="00AF663D">
        <w:tc>
          <w:tcPr>
            <w:tcW w:w="568" w:type="dxa"/>
          </w:tcPr>
          <w:p w:rsidR="001F5D94" w:rsidRPr="00504CE5" w:rsidRDefault="001F5D94" w:rsidP="00504CE5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1F5D94" w:rsidRPr="00504CE5" w:rsidRDefault="001F5D94" w:rsidP="00504CE5">
            <w:pPr>
              <w:jc w:val="left"/>
            </w:pPr>
            <w:r w:rsidRPr="00504CE5">
              <w:t>71532/12</w:t>
            </w:r>
          </w:p>
        </w:tc>
        <w:tc>
          <w:tcPr>
            <w:tcW w:w="1417" w:type="dxa"/>
          </w:tcPr>
          <w:p w:rsidR="001F5D94" w:rsidRPr="00504CE5" w:rsidRDefault="001F5D94" w:rsidP="00504CE5">
            <w:pPr>
              <w:jc w:val="left"/>
            </w:pPr>
            <w:r w:rsidRPr="00504CE5">
              <w:t>29/10/2012</w:t>
            </w:r>
          </w:p>
        </w:tc>
        <w:tc>
          <w:tcPr>
            <w:tcW w:w="2552" w:type="dxa"/>
          </w:tcPr>
          <w:p w:rsidR="001F5D94" w:rsidRPr="00504CE5" w:rsidRDefault="001F5D94" w:rsidP="00504CE5">
            <w:pPr>
              <w:jc w:val="left"/>
              <w:rPr>
                <w:b/>
              </w:rPr>
            </w:pPr>
            <w:r w:rsidRPr="00504CE5">
              <w:rPr>
                <w:b/>
              </w:rPr>
              <w:t>Baldassare Gabriele BONO</w:t>
            </w:r>
          </w:p>
          <w:p w:rsidR="001F5D94" w:rsidRPr="00504CE5" w:rsidRDefault="001F5D94" w:rsidP="00504CE5">
            <w:pPr>
              <w:jc w:val="left"/>
            </w:pPr>
            <w:r w:rsidRPr="00504CE5">
              <w:t>10/06/1962</w:t>
            </w:r>
          </w:p>
          <w:p w:rsidR="001F5D94" w:rsidRPr="00504CE5" w:rsidRDefault="001F5D94" w:rsidP="00504CE5">
            <w:pPr>
              <w:jc w:val="left"/>
            </w:pPr>
            <w:r w:rsidRPr="00504CE5">
              <w:t>Agrigent</w:t>
            </w:r>
            <w:r w:rsidR="00D45666" w:rsidRPr="00504CE5">
              <w:t>e</w:t>
            </w:r>
          </w:p>
          <w:p w:rsidR="001F5D94" w:rsidRPr="00504CE5" w:rsidRDefault="001F5D94" w:rsidP="00504CE5">
            <w:pPr>
              <w:jc w:val="left"/>
            </w:pPr>
          </w:p>
        </w:tc>
        <w:tc>
          <w:tcPr>
            <w:tcW w:w="3118" w:type="dxa"/>
          </w:tcPr>
          <w:p w:rsidR="001F5D94" w:rsidRPr="00504CE5" w:rsidRDefault="001F5D94" w:rsidP="00504CE5">
            <w:pPr>
              <w:jc w:val="left"/>
            </w:pPr>
            <w:r w:rsidRPr="00504CE5">
              <w:t>Olindo DI FRANCESCO</w:t>
            </w:r>
          </w:p>
          <w:p w:rsidR="00AF663D" w:rsidRPr="00504CE5" w:rsidRDefault="00AF663D" w:rsidP="00504CE5">
            <w:pPr>
              <w:jc w:val="left"/>
            </w:pPr>
          </w:p>
        </w:tc>
      </w:tr>
      <w:tr w:rsidR="001F5D94" w:rsidRPr="00504CE5" w:rsidTr="00AF663D">
        <w:tc>
          <w:tcPr>
            <w:tcW w:w="568" w:type="dxa"/>
          </w:tcPr>
          <w:p w:rsidR="001F5D94" w:rsidRPr="00504CE5" w:rsidRDefault="001F5D94" w:rsidP="00504CE5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1F5D94" w:rsidRPr="00504CE5" w:rsidRDefault="001F5D94" w:rsidP="00504CE5">
            <w:pPr>
              <w:jc w:val="left"/>
            </w:pPr>
            <w:r w:rsidRPr="00504CE5">
              <w:t>76135/13</w:t>
            </w:r>
          </w:p>
        </w:tc>
        <w:tc>
          <w:tcPr>
            <w:tcW w:w="1417" w:type="dxa"/>
          </w:tcPr>
          <w:p w:rsidR="001F5D94" w:rsidRPr="00504CE5" w:rsidRDefault="001F5D94" w:rsidP="00504CE5">
            <w:pPr>
              <w:jc w:val="left"/>
            </w:pPr>
            <w:r w:rsidRPr="00504CE5">
              <w:t>14/11/2013</w:t>
            </w:r>
          </w:p>
        </w:tc>
        <w:tc>
          <w:tcPr>
            <w:tcW w:w="2552" w:type="dxa"/>
          </w:tcPr>
          <w:p w:rsidR="001F5D94" w:rsidRPr="00504CE5" w:rsidRDefault="001F5D94" w:rsidP="00504CE5">
            <w:pPr>
              <w:jc w:val="left"/>
              <w:rPr>
                <w:b/>
              </w:rPr>
            </w:pPr>
            <w:r w:rsidRPr="00504CE5">
              <w:rPr>
                <w:b/>
              </w:rPr>
              <w:t>Nikolay Vasilev YANCHOV</w:t>
            </w:r>
          </w:p>
          <w:p w:rsidR="001F5D94" w:rsidRPr="00504CE5" w:rsidRDefault="001F5D94" w:rsidP="00504CE5">
            <w:pPr>
              <w:jc w:val="left"/>
            </w:pPr>
            <w:r w:rsidRPr="00504CE5">
              <w:t>06/10/1978</w:t>
            </w:r>
          </w:p>
          <w:p w:rsidR="001F5D94" w:rsidRPr="00504CE5" w:rsidRDefault="001F5D94" w:rsidP="00504CE5">
            <w:pPr>
              <w:jc w:val="left"/>
            </w:pPr>
            <w:r w:rsidRPr="00504CE5">
              <w:t>Rimini</w:t>
            </w:r>
          </w:p>
          <w:p w:rsidR="001F5D94" w:rsidRPr="00504CE5" w:rsidRDefault="001F5D94" w:rsidP="00504CE5">
            <w:pPr>
              <w:jc w:val="left"/>
            </w:pPr>
          </w:p>
          <w:p w:rsidR="001F5D94" w:rsidRPr="00504CE5" w:rsidRDefault="001F5D94" w:rsidP="00504CE5">
            <w:pPr>
              <w:jc w:val="left"/>
              <w:rPr>
                <w:b/>
              </w:rPr>
            </w:pPr>
            <w:r w:rsidRPr="00504CE5">
              <w:rPr>
                <w:b/>
              </w:rPr>
              <w:t>Yanitsa Todorova GUBERTOVA</w:t>
            </w:r>
          </w:p>
          <w:p w:rsidR="001F5D94" w:rsidRPr="00504CE5" w:rsidRDefault="001F5D94" w:rsidP="00504CE5">
            <w:pPr>
              <w:jc w:val="left"/>
            </w:pPr>
            <w:r w:rsidRPr="00504CE5">
              <w:t>20/12/1981</w:t>
            </w:r>
          </w:p>
          <w:p w:rsidR="001F5D94" w:rsidRPr="00504CE5" w:rsidRDefault="001F5D94" w:rsidP="00504CE5">
            <w:pPr>
              <w:jc w:val="left"/>
            </w:pPr>
            <w:r w:rsidRPr="00504CE5">
              <w:t>Rimini</w:t>
            </w:r>
          </w:p>
          <w:p w:rsidR="001F5D94" w:rsidRPr="00504CE5" w:rsidRDefault="001F5D94" w:rsidP="00504CE5">
            <w:pPr>
              <w:jc w:val="left"/>
            </w:pPr>
          </w:p>
        </w:tc>
        <w:tc>
          <w:tcPr>
            <w:tcW w:w="3118" w:type="dxa"/>
          </w:tcPr>
          <w:p w:rsidR="001F5D94" w:rsidRPr="00504CE5" w:rsidRDefault="001F5D94" w:rsidP="00504CE5">
            <w:pPr>
              <w:jc w:val="left"/>
            </w:pPr>
            <w:r w:rsidRPr="00504CE5">
              <w:t>Raffaele PACIFICO</w:t>
            </w:r>
          </w:p>
          <w:p w:rsidR="00AF663D" w:rsidRPr="00504CE5" w:rsidRDefault="00AF663D" w:rsidP="00504CE5">
            <w:pPr>
              <w:jc w:val="left"/>
            </w:pPr>
          </w:p>
        </w:tc>
      </w:tr>
      <w:tr w:rsidR="001F5D94" w:rsidRPr="00504CE5" w:rsidTr="00AF663D">
        <w:tc>
          <w:tcPr>
            <w:tcW w:w="568" w:type="dxa"/>
          </w:tcPr>
          <w:p w:rsidR="001F5D94" w:rsidRPr="00504CE5" w:rsidRDefault="001F5D94" w:rsidP="00504CE5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1F5D94" w:rsidRPr="00504CE5" w:rsidRDefault="001F5D94" w:rsidP="00504CE5">
            <w:pPr>
              <w:jc w:val="left"/>
            </w:pPr>
            <w:r w:rsidRPr="00504CE5">
              <w:t>37868/14</w:t>
            </w:r>
          </w:p>
        </w:tc>
        <w:tc>
          <w:tcPr>
            <w:tcW w:w="1417" w:type="dxa"/>
          </w:tcPr>
          <w:p w:rsidR="001F5D94" w:rsidRPr="00504CE5" w:rsidRDefault="001F5D94" w:rsidP="00504CE5">
            <w:pPr>
              <w:jc w:val="left"/>
            </w:pPr>
            <w:r w:rsidRPr="00504CE5">
              <w:t>24/04/2014</w:t>
            </w:r>
          </w:p>
        </w:tc>
        <w:tc>
          <w:tcPr>
            <w:tcW w:w="2552" w:type="dxa"/>
          </w:tcPr>
          <w:p w:rsidR="001F5D94" w:rsidRPr="00504CE5" w:rsidRDefault="001F5D94" w:rsidP="00504CE5">
            <w:pPr>
              <w:jc w:val="left"/>
              <w:rPr>
                <w:b/>
              </w:rPr>
            </w:pPr>
            <w:r w:rsidRPr="00504CE5">
              <w:rPr>
                <w:b/>
              </w:rPr>
              <w:t>Abderrahim BELFASSI</w:t>
            </w:r>
          </w:p>
          <w:p w:rsidR="001F5D94" w:rsidRPr="00504CE5" w:rsidRDefault="001F5D94" w:rsidP="00504CE5">
            <w:pPr>
              <w:jc w:val="left"/>
            </w:pPr>
            <w:r w:rsidRPr="00504CE5">
              <w:t>19/09/1982</w:t>
            </w:r>
          </w:p>
          <w:p w:rsidR="001F5D94" w:rsidRPr="00504CE5" w:rsidRDefault="001F5D94" w:rsidP="00504CE5">
            <w:pPr>
              <w:jc w:val="left"/>
            </w:pPr>
            <w:r w:rsidRPr="00504CE5">
              <w:t>Gardone Val Trompia</w:t>
            </w:r>
          </w:p>
          <w:p w:rsidR="001F5D94" w:rsidRPr="00504CE5" w:rsidRDefault="001F5D94" w:rsidP="00504CE5">
            <w:pPr>
              <w:jc w:val="left"/>
            </w:pPr>
          </w:p>
        </w:tc>
        <w:tc>
          <w:tcPr>
            <w:tcW w:w="3118" w:type="dxa"/>
          </w:tcPr>
          <w:p w:rsidR="001F5D94" w:rsidRPr="00504CE5" w:rsidRDefault="001F5D94" w:rsidP="00504CE5">
            <w:pPr>
              <w:jc w:val="left"/>
            </w:pPr>
            <w:r w:rsidRPr="00504CE5">
              <w:t>Corrado VOLTOLINI</w:t>
            </w:r>
          </w:p>
          <w:p w:rsidR="00AF663D" w:rsidRPr="00504CE5" w:rsidRDefault="00AF663D" w:rsidP="00504CE5">
            <w:pPr>
              <w:jc w:val="left"/>
            </w:pPr>
          </w:p>
        </w:tc>
      </w:tr>
      <w:tr w:rsidR="001F5D94" w:rsidRPr="00504CE5" w:rsidTr="00AF663D">
        <w:tc>
          <w:tcPr>
            <w:tcW w:w="568" w:type="dxa"/>
          </w:tcPr>
          <w:p w:rsidR="001F5D94" w:rsidRPr="00504CE5" w:rsidRDefault="001F5D94" w:rsidP="00504CE5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1F5D94" w:rsidRPr="00504CE5" w:rsidRDefault="001F5D94" w:rsidP="00504CE5">
            <w:pPr>
              <w:jc w:val="left"/>
            </w:pPr>
            <w:r w:rsidRPr="00504CE5">
              <w:t>56428/14</w:t>
            </w:r>
          </w:p>
        </w:tc>
        <w:tc>
          <w:tcPr>
            <w:tcW w:w="1417" w:type="dxa"/>
          </w:tcPr>
          <w:p w:rsidR="001F5D94" w:rsidRPr="00504CE5" w:rsidRDefault="001F5D94" w:rsidP="00504CE5">
            <w:pPr>
              <w:jc w:val="left"/>
            </w:pPr>
            <w:r w:rsidRPr="00504CE5">
              <w:t>01/08/2014</w:t>
            </w:r>
          </w:p>
        </w:tc>
        <w:tc>
          <w:tcPr>
            <w:tcW w:w="2552" w:type="dxa"/>
          </w:tcPr>
          <w:p w:rsidR="001F5D94" w:rsidRPr="00504CE5" w:rsidRDefault="001F5D94" w:rsidP="00504CE5">
            <w:pPr>
              <w:jc w:val="left"/>
              <w:rPr>
                <w:b/>
              </w:rPr>
            </w:pPr>
            <w:r w:rsidRPr="00504CE5">
              <w:rPr>
                <w:b/>
              </w:rPr>
              <w:t>Antonello RINALDI</w:t>
            </w:r>
          </w:p>
          <w:p w:rsidR="001F5D94" w:rsidRPr="00504CE5" w:rsidRDefault="001F5D94" w:rsidP="00504CE5">
            <w:pPr>
              <w:jc w:val="left"/>
            </w:pPr>
            <w:r w:rsidRPr="00504CE5">
              <w:t>14/08/1966</w:t>
            </w:r>
          </w:p>
          <w:p w:rsidR="001F5D94" w:rsidRPr="00504CE5" w:rsidRDefault="001F5D94" w:rsidP="00504CE5">
            <w:pPr>
              <w:jc w:val="left"/>
            </w:pPr>
            <w:r w:rsidRPr="00504CE5">
              <w:t>Foggia</w:t>
            </w:r>
          </w:p>
        </w:tc>
        <w:tc>
          <w:tcPr>
            <w:tcW w:w="3118" w:type="dxa"/>
          </w:tcPr>
          <w:p w:rsidR="00BB5E90" w:rsidRPr="00504CE5" w:rsidRDefault="00BB5E90" w:rsidP="00504CE5">
            <w:pPr>
              <w:jc w:val="left"/>
              <w:rPr>
                <w:lang w:val="fr-FR"/>
              </w:rPr>
            </w:pPr>
            <w:bookmarkStart w:id="2" w:name="TableEnd"/>
            <w:bookmarkEnd w:id="2"/>
          </w:p>
        </w:tc>
      </w:tr>
    </w:tbl>
    <w:p w:rsidR="001F5D94" w:rsidRPr="00504CE5" w:rsidRDefault="001F5D94" w:rsidP="00504CE5">
      <w:pPr>
        <w:rPr>
          <w:lang w:val="fr-FR"/>
        </w:rPr>
      </w:pPr>
    </w:p>
    <w:sectPr w:rsidR="001F5D94" w:rsidRPr="00504CE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9E" w:rsidRPr="00AC6FC1" w:rsidRDefault="0017569E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17569E" w:rsidRPr="00AC6FC1" w:rsidRDefault="0017569E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94" w:rsidRPr="00150BFA" w:rsidRDefault="001F5D9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1619A86" wp14:editId="1871AFB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17569E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9E" w:rsidRPr="00AC6FC1" w:rsidRDefault="0017569E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17569E" w:rsidRPr="00AC6FC1" w:rsidRDefault="0017569E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1F5D94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582A4D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MANZO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1F5D94">
      <w:rPr>
        <w:lang w:val="fr-FR"/>
      </w:rPr>
      <w:t>MANZO c. ITALIE</w:t>
    </w:r>
    <w:r w:rsidR="001F5D94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1F5D94">
      <w:rPr>
        <w:rStyle w:val="Numeropagina"/>
        <w:lang w:val="fr-FR"/>
      </w:rPr>
      <w:fldChar w:fldCharType="begin"/>
    </w:r>
    <w:r w:rsidR="001F5D94">
      <w:rPr>
        <w:rStyle w:val="Numeropagina"/>
        <w:lang w:val="fr-FR"/>
      </w:rPr>
      <w:instrText xml:space="preserve"> PAGE </w:instrText>
    </w:r>
    <w:r w:rsidR="001F5D94">
      <w:rPr>
        <w:rStyle w:val="Numeropagina"/>
        <w:lang w:val="fr-FR"/>
      </w:rPr>
      <w:fldChar w:fldCharType="separate"/>
    </w:r>
    <w:r w:rsidR="00582A4D">
      <w:rPr>
        <w:rStyle w:val="Numeropagina"/>
        <w:noProof/>
        <w:lang w:val="fr-FR"/>
      </w:rPr>
      <w:t>5</w:t>
    </w:r>
    <w:r w:rsidR="001F5D94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94" w:rsidRPr="00A45145" w:rsidRDefault="001F5D9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820602C" wp14:editId="7D16417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17569E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2324AE"/>
    <w:multiLevelType w:val="hybridMultilevel"/>
    <w:tmpl w:val="D022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1F5D9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7569E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5D94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0886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17B3"/>
    <w:rsid w:val="004F2389"/>
    <w:rsid w:val="004F304D"/>
    <w:rsid w:val="004F61BE"/>
    <w:rsid w:val="004F66B1"/>
    <w:rsid w:val="00504CE5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2A4D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561B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B7AC9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134"/>
    <w:rsid w:val="00805E52"/>
    <w:rsid w:val="008061D0"/>
    <w:rsid w:val="00810B38"/>
    <w:rsid w:val="008204C7"/>
    <w:rsid w:val="00820992"/>
    <w:rsid w:val="00823602"/>
    <w:rsid w:val="008255F5"/>
    <w:rsid w:val="00827D9F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6C4C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663D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5E90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760FF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44FA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45666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1E7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709AF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uiPriority w:val="14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1F5D9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D588-9218-455C-98BF-275A70C59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5F433-2433-4FFF-AF32-BB6EC3DB1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5E47F-3AF9-4F2A-BDA3-70CBC880A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388BD0-CD64-4AD0-B721-B071DE06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2016-11-09T14:44:00Z</dcterms:created>
  <dcterms:modified xsi:type="dcterms:W3CDTF">2016-11-09T14:44:00Z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